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5BFC" w14:textId="68EFB08B" w:rsidR="00AB7DC0" w:rsidRPr="001D4892" w:rsidRDefault="00AB7DC0" w:rsidP="004B6944">
      <w:pPr>
        <w:pStyle w:val="Heading1"/>
        <w:numPr>
          <w:ilvl w:val="0"/>
          <w:numId w:val="0"/>
        </w:numPr>
      </w:pPr>
      <w:r w:rsidRPr="001D4892">
        <w:t>Action plan and year-on update</w:t>
      </w:r>
    </w:p>
    <w:p w14:paraId="12A0C20B" w14:textId="77777777" w:rsidR="00AB7DC0" w:rsidRPr="001D4892" w:rsidRDefault="00AB7DC0" w:rsidP="00AB7DC0">
      <w:pPr>
        <w:rPr>
          <w:rFonts w:ascii="Arial" w:eastAsia="Calibri" w:hAnsi="Arial" w:cs="Arial"/>
          <w:sz w:val="24"/>
          <w:szCs w:val="24"/>
          <w:lang w:val="en-GB"/>
        </w:rPr>
      </w:pPr>
    </w:p>
    <w:p w14:paraId="7E2646A0" w14:textId="66774E3D" w:rsidR="00741130" w:rsidRPr="00741130" w:rsidRDefault="00741130" w:rsidP="00741130">
      <w:pPr>
        <w:rPr>
          <w:rFonts w:ascii="Arial" w:eastAsia="Calibri" w:hAnsi="Arial" w:cs="Arial"/>
          <w:sz w:val="24"/>
          <w:szCs w:val="24"/>
          <w:lang w:val="en-GB"/>
        </w:rPr>
      </w:pPr>
      <w:bookmarkStart w:id="0" w:name="_Hlk139362144"/>
      <w:r w:rsidRPr="00741130">
        <w:rPr>
          <w:rFonts w:ascii="Arial" w:eastAsia="Calibri" w:hAnsi="Arial" w:cs="Arial"/>
          <w:sz w:val="24"/>
          <w:szCs w:val="24"/>
          <w:lang w:val="en-GB"/>
        </w:rPr>
        <w:t xml:space="preserve">Schools and Departments are asked to submit an action plan in response to the recommendations outlined in the evaluative report. </w:t>
      </w:r>
      <w:r w:rsidR="00293955">
        <w:rPr>
          <w:rFonts w:ascii="Arial" w:eastAsia="Calibri" w:hAnsi="Arial" w:cs="Arial"/>
          <w:sz w:val="24"/>
          <w:szCs w:val="24"/>
          <w:lang w:val="en-GB"/>
        </w:rPr>
        <w:t>The Quality team will provide an action plan containing the recommendations</w:t>
      </w:r>
      <w:r w:rsidR="00BD7A7B">
        <w:rPr>
          <w:rFonts w:ascii="Arial" w:eastAsia="Calibri" w:hAnsi="Arial" w:cs="Arial"/>
          <w:sz w:val="24"/>
          <w:szCs w:val="24"/>
          <w:lang w:val="en-GB"/>
        </w:rPr>
        <w:t>,</w:t>
      </w:r>
      <w:r w:rsidR="00293955">
        <w:rPr>
          <w:rFonts w:ascii="Arial" w:eastAsia="Calibri" w:hAnsi="Arial" w:cs="Arial"/>
          <w:sz w:val="24"/>
          <w:szCs w:val="24"/>
          <w:lang w:val="en-GB"/>
        </w:rPr>
        <w:t xml:space="preserve"> and 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>Schools</w:t>
      </w:r>
      <w:r w:rsidR="008E7274">
        <w:rPr>
          <w:rFonts w:ascii="Arial" w:eastAsia="Calibri" w:hAnsi="Arial" w:cs="Arial"/>
          <w:sz w:val="24"/>
          <w:szCs w:val="24"/>
          <w:lang w:val="en-GB"/>
        </w:rPr>
        <w:t xml:space="preserve"> and 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 xml:space="preserve">Departments should summarise </w:t>
      </w:r>
      <w:r w:rsidR="00BD7A7B">
        <w:rPr>
          <w:rFonts w:ascii="Arial" w:eastAsia="Calibri" w:hAnsi="Arial" w:cs="Arial"/>
          <w:sz w:val="24"/>
          <w:szCs w:val="24"/>
          <w:lang w:val="en-GB"/>
        </w:rPr>
        <w:t xml:space="preserve">the actions they intend to take in response. 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>Where recommendations</w:t>
      </w:r>
      <w:r w:rsidR="0029395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BD7A7B">
        <w:rPr>
          <w:rFonts w:ascii="Arial" w:eastAsia="Calibri" w:hAnsi="Arial" w:cs="Arial"/>
          <w:sz w:val="24"/>
          <w:szCs w:val="24"/>
          <w:lang w:val="en-GB"/>
        </w:rPr>
        <w:t xml:space="preserve">require University-level action, 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>the Academic Monitoring Group</w:t>
      </w:r>
      <w:r w:rsidR="00293955">
        <w:rPr>
          <w:rFonts w:ascii="Arial" w:eastAsia="Calibri" w:hAnsi="Arial" w:cs="Arial"/>
          <w:sz w:val="24"/>
          <w:szCs w:val="24"/>
          <w:lang w:val="en-GB"/>
        </w:rPr>
        <w:t xml:space="preserve"> will agree and </w:t>
      </w:r>
      <w:r w:rsidR="00BD7A7B">
        <w:rPr>
          <w:rFonts w:ascii="Arial" w:eastAsia="Calibri" w:hAnsi="Arial" w:cs="Arial"/>
          <w:sz w:val="24"/>
          <w:szCs w:val="24"/>
          <w:lang w:val="en-GB"/>
        </w:rPr>
        <w:t xml:space="preserve">record the appropriate actions. 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>Clear and specific time</w:t>
      </w:r>
      <w:r w:rsidR="00BD7A7B">
        <w:rPr>
          <w:rFonts w:ascii="Arial" w:eastAsia="Calibri" w:hAnsi="Arial" w:cs="Arial"/>
          <w:sz w:val="24"/>
          <w:szCs w:val="24"/>
          <w:lang w:val="en-GB"/>
        </w:rPr>
        <w:t>scales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 xml:space="preserve"> for completion should be provided.</w:t>
      </w:r>
    </w:p>
    <w:p w14:paraId="1F9B8802" w14:textId="77777777" w:rsidR="00AB7DC0" w:rsidRPr="001D4892" w:rsidRDefault="00AB7DC0" w:rsidP="00AB7DC0">
      <w:pPr>
        <w:rPr>
          <w:rFonts w:ascii="Arial" w:eastAsia="Calibri" w:hAnsi="Arial" w:cs="Arial"/>
          <w:sz w:val="24"/>
          <w:szCs w:val="24"/>
          <w:lang w:val="en-GB"/>
        </w:rPr>
      </w:pPr>
    </w:p>
    <w:bookmarkEnd w:id="0"/>
    <w:p w14:paraId="2CBD7C22" w14:textId="77777777" w:rsidR="00AB7DC0" w:rsidRPr="001D4892" w:rsidRDefault="00AB7DC0" w:rsidP="00AB7DC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1D4892">
        <w:rPr>
          <w:rFonts w:ascii="Arial" w:eastAsia="Calibri" w:hAnsi="Arial" w:cs="Arial"/>
          <w:b/>
          <w:sz w:val="24"/>
          <w:szCs w:val="24"/>
          <w:lang w:val="en-GB"/>
        </w:rPr>
        <w:t xml:space="preserve">University-led Review of &lt;School/Department&gt; </w:t>
      </w:r>
    </w:p>
    <w:p w14:paraId="7C500229" w14:textId="77777777" w:rsidR="00AB7DC0" w:rsidRPr="001D4892" w:rsidRDefault="00AB7DC0" w:rsidP="00AB7DC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1D4892">
        <w:rPr>
          <w:rFonts w:ascii="Arial" w:eastAsia="Calibri" w:hAnsi="Arial" w:cs="Arial"/>
          <w:b/>
          <w:sz w:val="24"/>
          <w:szCs w:val="24"/>
          <w:lang w:val="en-GB"/>
        </w:rPr>
        <w:t>&lt;Date&gt;</w:t>
      </w:r>
    </w:p>
    <w:p w14:paraId="246FC89F" w14:textId="77777777" w:rsidR="00AB7DC0" w:rsidRPr="001D4892" w:rsidRDefault="00AB7DC0" w:rsidP="00AB7DC0">
      <w:pPr>
        <w:rPr>
          <w:rFonts w:ascii="Arial" w:eastAsia="Calibri" w:hAnsi="Arial" w:cs="Arial"/>
          <w:b/>
          <w:sz w:val="22"/>
          <w:szCs w:val="22"/>
          <w:lang w:val="en-GB"/>
        </w:rPr>
      </w:pPr>
      <w:r w:rsidRPr="001D4892">
        <w:rPr>
          <w:rFonts w:ascii="Arial" w:eastAsia="Calibri" w:hAnsi="Arial" w:cs="Arial"/>
          <w:b/>
          <w:sz w:val="24"/>
          <w:szCs w:val="24"/>
          <w:lang w:val="en-GB"/>
        </w:rPr>
        <w:t>Action plan in response to recommendations</w:t>
      </w:r>
    </w:p>
    <w:p w14:paraId="6F703AA0" w14:textId="77777777" w:rsidR="00AB7DC0" w:rsidRPr="001D4892" w:rsidRDefault="00AB7DC0" w:rsidP="00AB7DC0">
      <w:pPr>
        <w:rPr>
          <w:rFonts w:ascii="Arial" w:eastAsia="Calibri" w:hAnsi="Arial" w:cs="Arial"/>
          <w:b/>
          <w:sz w:val="22"/>
          <w:szCs w:val="22"/>
          <w:lang w:val="en-GB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6945"/>
        <w:gridCol w:w="1701"/>
      </w:tblGrid>
      <w:tr w:rsidR="00AB7DC0" w:rsidRPr="00CC28B7" w14:paraId="48191E5E" w14:textId="77777777" w:rsidTr="008648F3">
        <w:tc>
          <w:tcPr>
            <w:tcW w:w="5529" w:type="dxa"/>
            <w:shd w:val="clear" w:color="auto" w:fill="E7E6E6"/>
          </w:tcPr>
          <w:p w14:paraId="3F85F52D" w14:textId="77777777" w:rsidR="00AB7DC0" w:rsidRPr="001D4892" w:rsidRDefault="00AB7DC0" w:rsidP="008648F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Recommendation</w:t>
            </w:r>
          </w:p>
        </w:tc>
        <w:tc>
          <w:tcPr>
            <w:tcW w:w="6945" w:type="dxa"/>
            <w:shd w:val="clear" w:color="auto" w:fill="E7E6E6"/>
          </w:tcPr>
          <w:p w14:paraId="111B8C4D" w14:textId="68372BF4" w:rsidR="00AB7DC0" w:rsidRPr="001D4892" w:rsidRDefault="00293955" w:rsidP="008648F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</w:t>
            </w:r>
            <w:r w:rsidR="00AB7DC0" w:rsidRPr="001D489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ction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01" w:type="dxa"/>
            <w:shd w:val="clear" w:color="auto" w:fill="E7E6E6"/>
          </w:tcPr>
          <w:p w14:paraId="68E22E5A" w14:textId="77777777" w:rsidR="00AB7DC0" w:rsidRPr="001D4892" w:rsidRDefault="00AB7DC0" w:rsidP="008648F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Timeframe</w:t>
            </w:r>
          </w:p>
        </w:tc>
      </w:tr>
      <w:tr w:rsidR="00AB7DC0" w:rsidRPr="00CC28B7" w14:paraId="1EF71F50" w14:textId="77777777" w:rsidTr="008648F3">
        <w:tc>
          <w:tcPr>
            <w:tcW w:w="5529" w:type="dxa"/>
          </w:tcPr>
          <w:p w14:paraId="06AED6AA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1.</w:t>
            </w:r>
          </w:p>
          <w:p w14:paraId="7C6DFB6A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22531289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7FAE384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7E0DB9CC" w14:textId="77777777" w:rsidTr="008648F3">
        <w:tc>
          <w:tcPr>
            <w:tcW w:w="5529" w:type="dxa"/>
          </w:tcPr>
          <w:p w14:paraId="09790A2C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2.</w:t>
            </w:r>
          </w:p>
          <w:p w14:paraId="0387DFC1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0E9F9136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A926A89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32C6D086" w14:textId="77777777" w:rsidTr="008648F3">
        <w:tc>
          <w:tcPr>
            <w:tcW w:w="5529" w:type="dxa"/>
          </w:tcPr>
          <w:p w14:paraId="6F9DB181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3.</w:t>
            </w:r>
          </w:p>
          <w:p w14:paraId="0FAF9F5F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5F81BC94" w14:textId="77777777" w:rsidR="00AB7DC0" w:rsidRPr="001D4892" w:rsidRDefault="00AB7DC0" w:rsidP="008648F3">
            <w:pPr>
              <w:rPr>
                <w:rFonts w:ascii="Arial" w:eastAsia="Calibri" w:hAnsi="Arial" w:cs="Arial"/>
                <w:b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F2C5508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41266551" w14:textId="77777777" w:rsidTr="008648F3">
        <w:trPr>
          <w:trHeight w:val="143"/>
        </w:trPr>
        <w:tc>
          <w:tcPr>
            <w:tcW w:w="5529" w:type="dxa"/>
          </w:tcPr>
          <w:p w14:paraId="103A7C80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4.</w:t>
            </w:r>
          </w:p>
          <w:p w14:paraId="2EC6E97B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1FF7E941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4BC26BA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5AA25690" w14:textId="77777777" w:rsidTr="008648F3">
        <w:trPr>
          <w:trHeight w:val="70"/>
        </w:trPr>
        <w:tc>
          <w:tcPr>
            <w:tcW w:w="5529" w:type="dxa"/>
          </w:tcPr>
          <w:p w14:paraId="7909B3A8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5.</w:t>
            </w:r>
          </w:p>
          <w:p w14:paraId="043E2F11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60A05C8A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30B1146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7BB1D633" w14:textId="77777777" w:rsidTr="008648F3">
        <w:tc>
          <w:tcPr>
            <w:tcW w:w="5529" w:type="dxa"/>
          </w:tcPr>
          <w:p w14:paraId="20DFABA2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6.</w:t>
            </w:r>
          </w:p>
          <w:p w14:paraId="3FC81DC0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7B2A158E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889DB61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B7DC0" w:rsidRPr="00CC28B7" w14:paraId="6CBD92C5" w14:textId="77777777" w:rsidTr="008648F3">
        <w:tc>
          <w:tcPr>
            <w:tcW w:w="5529" w:type="dxa"/>
          </w:tcPr>
          <w:p w14:paraId="70736B0B" w14:textId="77777777" w:rsidR="00AB7DC0" w:rsidRPr="001D4892" w:rsidRDefault="00AB7DC0" w:rsidP="008648F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D4892">
              <w:rPr>
                <w:rFonts w:ascii="Arial" w:eastAsia="Calibri" w:hAnsi="Arial" w:cs="Arial"/>
                <w:sz w:val="22"/>
                <w:szCs w:val="22"/>
                <w:lang w:val="en-GB"/>
              </w:rPr>
              <w:t>7.</w:t>
            </w:r>
          </w:p>
          <w:p w14:paraId="16DE8367" w14:textId="77777777" w:rsidR="00AB7DC0" w:rsidRPr="001D4892" w:rsidRDefault="00AB7DC0" w:rsidP="008648F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7163CA60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C57BB6A" w14:textId="77777777" w:rsidR="00AB7DC0" w:rsidRPr="001D4892" w:rsidRDefault="00AB7DC0" w:rsidP="008648F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3FB4716C" w14:textId="77777777" w:rsidR="00AB7DC0" w:rsidRPr="001D4892" w:rsidRDefault="00AB7DC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08701EC5" w14:textId="77777777" w:rsidR="00AB7DC0" w:rsidRDefault="006271F8" w:rsidP="00AB7DC0">
      <w:pPr>
        <w:rPr>
          <w:rFonts w:ascii="Arial" w:eastAsia="Calibri" w:hAnsi="Arial" w:cs="Arial"/>
          <w:sz w:val="22"/>
          <w:szCs w:val="22"/>
          <w:lang w:val="en-GB"/>
        </w:rPr>
      </w:pPr>
      <w:sdt>
        <w:sdtPr>
          <w:rPr>
            <w:rFonts w:ascii="Arial" w:eastAsia="Calibri" w:hAnsi="Arial" w:cs="Arial"/>
            <w:sz w:val="22"/>
            <w:szCs w:val="22"/>
            <w:lang w:val="en-GB"/>
          </w:rPr>
          <w:id w:val="-35705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DC0" w:rsidRPr="00CC28B7">
            <w:rPr>
              <w:rFonts w:ascii="Segoe UI Symbol" w:eastAsia="Calibri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AB7DC0" w:rsidRPr="001D4892">
        <w:rPr>
          <w:rFonts w:ascii="Arial" w:eastAsia="Calibri" w:hAnsi="Arial" w:cs="Arial"/>
          <w:sz w:val="22"/>
          <w:szCs w:val="22"/>
          <w:lang w:val="en-GB"/>
        </w:rPr>
        <w:t xml:space="preserve"> Action plan produced in consultation with the School/Department’s Learning and Teaching Committee</w:t>
      </w:r>
      <w:r w:rsidR="00AB7DC0">
        <w:rPr>
          <w:rFonts w:ascii="Arial" w:eastAsia="Calibri" w:hAnsi="Arial" w:cs="Arial"/>
          <w:sz w:val="22"/>
          <w:szCs w:val="22"/>
          <w:lang w:val="en-GB"/>
        </w:rPr>
        <w:t xml:space="preserve"> </w:t>
      </w:r>
    </w:p>
    <w:p w14:paraId="54AB2F57" w14:textId="77777777" w:rsidR="00A15830" w:rsidRDefault="00A1583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6879E9A3" w14:textId="15260DCC" w:rsidR="00A15830" w:rsidRPr="00A15830" w:rsidRDefault="00A15830" w:rsidP="00A15830">
      <w:pPr>
        <w:rPr>
          <w:rFonts w:ascii="Arial" w:eastAsia="Calibri" w:hAnsi="Arial" w:cs="Arial"/>
          <w:sz w:val="22"/>
          <w:szCs w:val="22"/>
          <w:lang w:val="en-GB"/>
        </w:rPr>
      </w:pPr>
      <w:r w:rsidRPr="00A15830">
        <w:rPr>
          <w:rFonts w:ascii="Arial" w:eastAsia="Calibri" w:hAnsi="Arial" w:cs="Arial"/>
          <w:sz w:val="22"/>
          <w:szCs w:val="22"/>
          <w:lang w:val="en-GB"/>
        </w:rPr>
        <w:t xml:space="preserve">Please provide a statement outlining how the </w:t>
      </w:r>
      <w:r>
        <w:rPr>
          <w:rFonts w:ascii="Arial" w:eastAsia="Calibri" w:hAnsi="Arial" w:cs="Arial"/>
          <w:sz w:val="22"/>
          <w:szCs w:val="22"/>
          <w:lang w:val="en-GB"/>
        </w:rPr>
        <w:t>review outcomes and proposed actions</w:t>
      </w:r>
      <w:r w:rsidRPr="00A15830">
        <w:rPr>
          <w:rFonts w:ascii="Arial" w:eastAsia="Calibri" w:hAnsi="Arial" w:cs="Arial"/>
          <w:sz w:val="22"/>
          <w:szCs w:val="22"/>
          <w:lang w:val="en-GB"/>
        </w:rPr>
        <w:t xml:space="preserve"> will be shared with staff and students. </w:t>
      </w:r>
      <w:r>
        <w:rPr>
          <w:rFonts w:ascii="Arial" w:eastAsia="Calibri" w:hAnsi="Arial" w:cs="Arial"/>
          <w:sz w:val="22"/>
          <w:szCs w:val="22"/>
          <w:lang w:val="en-GB"/>
        </w:rPr>
        <w:t>These</w:t>
      </w:r>
      <w:r w:rsidRPr="00A15830">
        <w:rPr>
          <w:rFonts w:ascii="Arial" w:eastAsia="Calibri" w:hAnsi="Arial" w:cs="Arial"/>
          <w:sz w:val="22"/>
          <w:szCs w:val="22"/>
          <w:lang w:val="en-GB"/>
        </w:rPr>
        <w:t xml:space="preserve"> must not be shared until they have been approved by the Academic Monitoring Group.</w:t>
      </w:r>
    </w:p>
    <w:p w14:paraId="38C2600B" w14:textId="77777777" w:rsidR="00A15830" w:rsidRDefault="00A1583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50591992" w14:textId="77777777" w:rsidR="00AB7DC0" w:rsidRDefault="00AB7DC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4680EC46" w14:textId="77777777" w:rsidR="00741130" w:rsidRPr="00741130" w:rsidRDefault="00741130" w:rsidP="00741130">
      <w:pPr>
        <w:rPr>
          <w:rFonts w:ascii="Arial" w:eastAsia="Calibri" w:hAnsi="Arial" w:cs="Arial"/>
          <w:sz w:val="24"/>
          <w:szCs w:val="24"/>
          <w:lang w:val="en-GB"/>
        </w:rPr>
      </w:pPr>
      <w:r w:rsidRPr="00741130">
        <w:rPr>
          <w:rFonts w:ascii="Arial" w:eastAsia="Calibri" w:hAnsi="Arial" w:cs="Arial"/>
          <w:sz w:val="24"/>
          <w:szCs w:val="24"/>
          <w:lang w:val="en-GB"/>
        </w:rPr>
        <w:lastRenderedPageBreak/>
        <w:t xml:space="preserve">Schools and Departments are asked to submit a year-on update outlining progress against previously completed actions. The action plan should be used as a basis, with updates provided in red text, clearly indicating the </w:t>
      </w:r>
      <w:r w:rsidRPr="00741130">
        <w:rPr>
          <w:rFonts w:ascii="Arial" w:eastAsia="Calibri" w:hAnsi="Arial" w:cs="Arial"/>
          <w:b/>
          <w:bCs/>
          <w:sz w:val="24"/>
          <w:szCs w:val="24"/>
          <w:lang w:val="en-GB"/>
        </w:rPr>
        <w:t>outcomes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 xml:space="preserve"> and </w:t>
      </w:r>
      <w:r w:rsidRPr="00741130">
        <w:rPr>
          <w:rFonts w:ascii="Arial" w:eastAsia="Calibri" w:hAnsi="Arial" w:cs="Arial"/>
          <w:b/>
          <w:bCs/>
          <w:sz w:val="24"/>
          <w:szCs w:val="24"/>
          <w:lang w:val="en-GB"/>
        </w:rPr>
        <w:t>impact</w:t>
      </w:r>
      <w:r w:rsidRPr="00741130">
        <w:rPr>
          <w:rFonts w:ascii="Arial" w:eastAsia="Calibri" w:hAnsi="Arial" w:cs="Arial"/>
          <w:sz w:val="24"/>
          <w:szCs w:val="24"/>
          <w:lang w:val="en-GB"/>
        </w:rPr>
        <w:t xml:space="preserve"> for each action.</w:t>
      </w:r>
    </w:p>
    <w:p w14:paraId="2FE4D9ED" w14:textId="77777777" w:rsidR="00741130" w:rsidRPr="005C21C0" w:rsidRDefault="00741130" w:rsidP="00741130">
      <w:pPr>
        <w:rPr>
          <w:rFonts w:ascii="Arial" w:eastAsia="Calibri" w:hAnsi="Arial" w:cs="Arial"/>
          <w:sz w:val="24"/>
          <w:szCs w:val="24"/>
          <w:lang w:val="en-GB"/>
        </w:rPr>
      </w:pPr>
    </w:p>
    <w:p w14:paraId="798932C9" w14:textId="77777777" w:rsidR="00741130" w:rsidRPr="005C21C0" w:rsidRDefault="00741130" w:rsidP="0074113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5C21C0">
        <w:rPr>
          <w:rFonts w:ascii="Arial" w:eastAsia="Calibri" w:hAnsi="Arial" w:cs="Arial"/>
          <w:b/>
          <w:sz w:val="24"/>
          <w:szCs w:val="24"/>
          <w:lang w:val="en-GB"/>
        </w:rPr>
        <w:t xml:space="preserve">University-led Review of &lt;School/Department&gt; </w:t>
      </w:r>
    </w:p>
    <w:p w14:paraId="1F6E331F" w14:textId="77777777" w:rsidR="00741130" w:rsidRPr="005C21C0" w:rsidRDefault="00741130" w:rsidP="0074113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5C21C0">
        <w:rPr>
          <w:rFonts w:ascii="Arial" w:eastAsia="Calibri" w:hAnsi="Arial" w:cs="Arial"/>
          <w:b/>
          <w:sz w:val="24"/>
          <w:szCs w:val="24"/>
          <w:lang w:val="en-GB"/>
        </w:rPr>
        <w:t>&lt;Date of review&gt;</w:t>
      </w:r>
    </w:p>
    <w:p w14:paraId="61ABE787" w14:textId="77777777" w:rsidR="00741130" w:rsidRPr="005C21C0" w:rsidRDefault="00741130" w:rsidP="0074113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5C21C0">
        <w:rPr>
          <w:rFonts w:ascii="Arial" w:eastAsia="Calibri" w:hAnsi="Arial" w:cs="Arial"/>
          <w:b/>
          <w:sz w:val="24"/>
          <w:szCs w:val="24"/>
          <w:lang w:val="en-GB"/>
        </w:rPr>
        <w:t xml:space="preserve">Year-on update </w:t>
      </w:r>
    </w:p>
    <w:p w14:paraId="1ADE19E2" w14:textId="77777777" w:rsidR="00741130" w:rsidRPr="008911C5" w:rsidRDefault="00741130" w:rsidP="00741130">
      <w:pPr>
        <w:rPr>
          <w:rFonts w:ascii="Arial" w:eastAsia="Calibri" w:hAnsi="Arial" w:cs="Arial"/>
          <w:b/>
          <w:sz w:val="22"/>
          <w:szCs w:val="22"/>
          <w:lang w:val="en-GB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6945"/>
        <w:gridCol w:w="1701"/>
      </w:tblGrid>
      <w:tr w:rsidR="00741130" w:rsidRPr="00CC28B7" w14:paraId="7ACA113E" w14:textId="77777777" w:rsidTr="00120DCB">
        <w:tc>
          <w:tcPr>
            <w:tcW w:w="5529" w:type="dxa"/>
            <w:shd w:val="clear" w:color="auto" w:fill="E7E6E6"/>
          </w:tcPr>
          <w:p w14:paraId="5593C5E5" w14:textId="77777777" w:rsidR="00741130" w:rsidRPr="008911C5" w:rsidRDefault="00741130" w:rsidP="00120DCB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Recommendation</w:t>
            </w:r>
          </w:p>
        </w:tc>
        <w:tc>
          <w:tcPr>
            <w:tcW w:w="6945" w:type="dxa"/>
            <w:shd w:val="clear" w:color="auto" w:fill="E7E6E6"/>
          </w:tcPr>
          <w:p w14:paraId="211BD762" w14:textId="77777777" w:rsidR="00741130" w:rsidRPr="008911C5" w:rsidRDefault="00741130" w:rsidP="00120DCB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Response/action </w:t>
            </w:r>
            <w:r w:rsidRPr="005F3C0E">
              <w:rPr>
                <w:rFonts w:ascii="Arial" w:eastAsia="Calibri" w:hAnsi="Arial" w:cs="Arial"/>
                <w:b/>
                <w:color w:val="CE0000"/>
                <w:sz w:val="22"/>
                <w:szCs w:val="22"/>
                <w:lang w:val="en-GB"/>
              </w:rPr>
              <w:t>and year-on update in red</w:t>
            </w:r>
          </w:p>
        </w:tc>
        <w:tc>
          <w:tcPr>
            <w:tcW w:w="1701" w:type="dxa"/>
            <w:shd w:val="clear" w:color="auto" w:fill="E7E6E6"/>
          </w:tcPr>
          <w:p w14:paraId="44228160" w14:textId="77777777" w:rsidR="00741130" w:rsidRPr="008911C5" w:rsidRDefault="00741130" w:rsidP="00120DCB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Timeframe</w:t>
            </w:r>
          </w:p>
        </w:tc>
      </w:tr>
      <w:tr w:rsidR="00741130" w:rsidRPr="00CC28B7" w14:paraId="74E2EF45" w14:textId="77777777" w:rsidTr="00120DCB">
        <w:tc>
          <w:tcPr>
            <w:tcW w:w="5529" w:type="dxa"/>
          </w:tcPr>
          <w:p w14:paraId="350481C4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1. </w:t>
            </w:r>
          </w:p>
          <w:p w14:paraId="08F31AFE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715F2D21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B53474B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429E928D" w14:textId="77777777" w:rsidTr="00120DCB">
        <w:tc>
          <w:tcPr>
            <w:tcW w:w="5529" w:type="dxa"/>
          </w:tcPr>
          <w:p w14:paraId="410220FA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2.</w:t>
            </w:r>
          </w:p>
          <w:p w14:paraId="09B7FADA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721F437A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346C87B2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19490E20" w14:textId="77777777" w:rsidTr="00120DCB">
        <w:tc>
          <w:tcPr>
            <w:tcW w:w="5529" w:type="dxa"/>
          </w:tcPr>
          <w:p w14:paraId="586911B9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3.</w:t>
            </w:r>
          </w:p>
          <w:p w14:paraId="51D9D2A1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2C723DF6" w14:textId="77777777" w:rsidR="00741130" w:rsidRPr="008911C5" w:rsidRDefault="00741130" w:rsidP="00120DCB">
            <w:pPr>
              <w:rPr>
                <w:rFonts w:ascii="Arial" w:eastAsia="Calibri" w:hAnsi="Arial" w:cs="Arial"/>
                <w:b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35BFC72E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743149D4" w14:textId="77777777" w:rsidTr="00120DCB">
        <w:trPr>
          <w:trHeight w:val="143"/>
        </w:trPr>
        <w:tc>
          <w:tcPr>
            <w:tcW w:w="5529" w:type="dxa"/>
          </w:tcPr>
          <w:p w14:paraId="22AF9002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4.</w:t>
            </w:r>
          </w:p>
          <w:p w14:paraId="443460E9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2876AFB9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C402751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678A699D" w14:textId="77777777" w:rsidTr="00120DCB">
        <w:trPr>
          <w:trHeight w:val="70"/>
        </w:trPr>
        <w:tc>
          <w:tcPr>
            <w:tcW w:w="5529" w:type="dxa"/>
          </w:tcPr>
          <w:p w14:paraId="21EA5084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5.</w:t>
            </w:r>
          </w:p>
          <w:p w14:paraId="351F8D3A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1679C988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5935299E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0879CFC1" w14:textId="77777777" w:rsidTr="00120DCB">
        <w:tc>
          <w:tcPr>
            <w:tcW w:w="5529" w:type="dxa"/>
          </w:tcPr>
          <w:p w14:paraId="4402965C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6.</w:t>
            </w:r>
          </w:p>
          <w:p w14:paraId="324F1799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1F4909B2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5005C595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3C5A6BA4" w14:textId="77777777" w:rsidTr="00120DCB">
        <w:tc>
          <w:tcPr>
            <w:tcW w:w="5529" w:type="dxa"/>
          </w:tcPr>
          <w:p w14:paraId="4423E4CC" w14:textId="77777777" w:rsidR="00741130" w:rsidRPr="008911C5" w:rsidRDefault="00741130" w:rsidP="00120DC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7.</w:t>
            </w:r>
          </w:p>
          <w:p w14:paraId="300D3D1A" w14:textId="77777777" w:rsidR="00741130" w:rsidRPr="008911C5" w:rsidRDefault="00741130" w:rsidP="00120DC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06EDE3DE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F4B71D2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41130" w:rsidRPr="00CC28B7" w14:paraId="48D74A52" w14:textId="77777777" w:rsidTr="00120DCB">
        <w:tc>
          <w:tcPr>
            <w:tcW w:w="5529" w:type="dxa"/>
          </w:tcPr>
          <w:p w14:paraId="73E05136" w14:textId="77777777" w:rsidR="00741130" w:rsidRPr="008911C5" w:rsidRDefault="00741130" w:rsidP="00120DC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911C5">
              <w:rPr>
                <w:rFonts w:ascii="Arial" w:eastAsia="Calibri" w:hAnsi="Arial" w:cs="Arial"/>
                <w:sz w:val="22"/>
                <w:szCs w:val="22"/>
                <w:lang w:val="en-GB"/>
              </w:rPr>
              <w:t>8.</w:t>
            </w:r>
          </w:p>
          <w:p w14:paraId="7F986E43" w14:textId="77777777" w:rsidR="00741130" w:rsidRPr="008911C5" w:rsidRDefault="00741130" w:rsidP="00120DC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14:paraId="15CB050A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288D1E7C" w14:textId="77777777" w:rsidR="00741130" w:rsidRPr="008911C5" w:rsidRDefault="00741130" w:rsidP="00120DC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064B0C60" w14:textId="77777777" w:rsidR="00741130" w:rsidRPr="008911C5" w:rsidRDefault="00741130" w:rsidP="0074113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08267786" w14:textId="0B19253A" w:rsidR="00741130" w:rsidRDefault="006271F8" w:rsidP="00741130">
      <w:pPr>
        <w:rPr>
          <w:rFonts w:ascii="Arial" w:eastAsia="Calibri" w:hAnsi="Arial" w:cs="Arial"/>
          <w:sz w:val="22"/>
          <w:szCs w:val="22"/>
          <w:lang w:val="en-GB"/>
        </w:rPr>
      </w:pPr>
      <w:sdt>
        <w:sdtPr>
          <w:rPr>
            <w:rFonts w:ascii="Arial" w:eastAsia="Calibri" w:hAnsi="Arial" w:cs="Arial"/>
            <w:sz w:val="22"/>
            <w:szCs w:val="22"/>
            <w:lang w:val="en-GB"/>
          </w:rPr>
          <w:id w:val="-88217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130" w:rsidRPr="00CC28B7">
            <w:rPr>
              <w:rFonts w:ascii="Segoe UI Symbol" w:eastAsia="Calibri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41130" w:rsidRPr="008911C5">
        <w:rPr>
          <w:rFonts w:ascii="Arial" w:eastAsia="Calibri" w:hAnsi="Arial" w:cs="Arial"/>
          <w:sz w:val="22"/>
          <w:szCs w:val="22"/>
          <w:lang w:val="en-GB"/>
        </w:rPr>
        <w:t xml:space="preserve"> Update produced in consultation with the School</w:t>
      </w:r>
      <w:r w:rsidR="00741130">
        <w:rPr>
          <w:rFonts w:ascii="Arial" w:eastAsia="Calibri" w:hAnsi="Arial" w:cs="Arial"/>
          <w:sz w:val="22"/>
          <w:szCs w:val="22"/>
          <w:lang w:val="en-GB"/>
        </w:rPr>
        <w:t xml:space="preserve"> or </w:t>
      </w:r>
      <w:r w:rsidR="00741130" w:rsidRPr="008911C5">
        <w:rPr>
          <w:rFonts w:ascii="Arial" w:eastAsia="Calibri" w:hAnsi="Arial" w:cs="Arial"/>
          <w:sz w:val="22"/>
          <w:szCs w:val="22"/>
          <w:lang w:val="en-GB"/>
        </w:rPr>
        <w:t xml:space="preserve">Department’s Learning and Teaching Committee </w:t>
      </w:r>
    </w:p>
    <w:p w14:paraId="46C40F72" w14:textId="77777777" w:rsidR="00741130" w:rsidRPr="008911C5" w:rsidRDefault="00741130" w:rsidP="0074113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7555DA7F" w14:textId="77777777" w:rsidR="00A15830" w:rsidRPr="00A15830" w:rsidRDefault="00A15830" w:rsidP="00A15830">
      <w:pPr>
        <w:rPr>
          <w:rFonts w:ascii="Arial" w:eastAsia="Calibri" w:hAnsi="Arial" w:cs="Arial"/>
          <w:sz w:val="22"/>
          <w:szCs w:val="22"/>
          <w:lang w:val="en-GB"/>
        </w:rPr>
      </w:pPr>
      <w:r w:rsidRPr="00A15830">
        <w:rPr>
          <w:rFonts w:ascii="Arial" w:eastAsia="Calibri" w:hAnsi="Arial" w:cs="Arial"/>
          <w:sz w:val="22"/>
          <w:szCs w:val="22"/>
          <w:lang w:val="en-GB"/>
        </w:rPr>
        <w:t>Please provide a statement outlining how the updates will be shared with staff and students. Updates must not be shared until they have been approved by the Academic Monitoring Group.</w:t>
      </w:r>
    </w:p>
    <w:p w14:paraId="1A8DF2D0" w14:textId="77777777" w:rsidR="00741130" w:rsidRDefault="0074113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25D9D97E" w14:textId="77777777" w:rsidR="00AB7DC0" w:rsidRPr="008911C5" w:rsidRDefault="00AB7DC0" w:rsidP="00AB7DC0">
      <w:pPr>
        <w:rPr>
          <w:rFonts w:ascii="Arial" w:eastAsia="Calibri" w:hAnsi="Arial" w:cs="Arial"/>
          <w:sz w:val="22"/>
          <w:szCs w:val="22"/>
          <w:lang w:val="en-GB"/>
        </w:rPr>
      </w:pPr>
    </w:p>
    <w:p w14:paraId="770878D8" w14:textId="77777777" w:rsidR="00E37CAA" w:rsidRDefault="00E37CAA"/>
    <w:sectPr w:rsidR="00E37CAA" w:rsidSect="00AB7D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3942"/>
    <w:multiLevelType w:val="multilevel"/>
    <w:tmpl w:val="DF02F6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3558721">
    <w:abstractNumId w:val="0"/>
  </w:num>
  <w:num w:numId="2" w16cid:durableId="51284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0"/>
    <w:rsid w:val="00057E99"/>
    <w:rsid w:val="00293955"/>
    <w:rsid w:val="002F7718"/>
    <w:rsid w:val="003D10B9"/>
    <w:rsid w:val="004A3BC0"/>
    <w:rsid w:val="004B6944"/>
    <w:rsid w:val="005A78B2"/>
    <w:rsid w:val="005F3C0E"/>
    <w:rsid w:val="00631FB2"/>
    <w:rsid w:val="0070582D"/>
    <w:rsid w:val="00741130"/>
    <w:rsid w:val="008E7274"/>
    <w:rsid w:val="00A15830"/>
    <w:rsid w:val="00AB7DC0"/>
    <w:rsid w:val="00B760B2"/>
    <w:rsid w:val="00BD7A7B"/>
    <w:rsid w:val="00D23048"/>
    <w:rsid w:val="00E37CAA"/>
    <w:rsid w:val="00EB74A7"/>
    <w:rsid w:val="00F84C64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5BCB"/>
  <w15:chartTrackingRefBased/>
  <w15:docId w15:val="{3A25D57E-B544-44E3-A71B-94456AC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718"/>
    <w:pPr>
      <w:keepNext/>
      <w:numPr>
        <w:numId w:val="1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AB7D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7D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18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D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D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Palmer</dc:creator>
  <cp:keywords/>
  <dc:description/>
  <cp:lastModifiedBy>Karen Murphy</cp:lastModifiedBy>
  <cp:revision>8</cp:revision>
  <dcterms:created xsi:type="dcterms:W3CDTF">2026-06-02T12:15:00Z</dcterms:created>
  <dcterms:modified xsi:type="dcterms:W3CDTF">2026-07-17T15:12:00Z</dcterms:modified>
</cp:coreProperties>
</file>